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8932" w14:textId="6C2A3BF3" w:rsidR="00A032AA" w:rsidRPr="00A032AA" w:rsidRDefault="00A032AA" w:rsidP="00A032AA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</w:pPr>
      <w:r w:rsidRPr="00A032AA">
        <w:rPr>
          <w:rFonts w:asciiTheme="majorHAnsi" w:eastAsia="Times New Roman" w:hAnsiTheme="majorHAnsi" w:cstheme="majorHAnsi"/>
          <w:b/>
          <w:bCs/>
          <w:color w:val="5D5D5D"/>
          <w:sz w:val="24"/>
          <w:szCs w:val="24"/>
          <w:lang w:eastAsia="pl-PL"/>
        </w:rPr>
        <w:t xml:space="preserve">Informujemy, że od 1 stycznia 2022 r.  </w:t>
      </w:r>
      <w:r w:rsidRPr="00A032AA">
        <w:rPr>
          <w:rFonts w:asciiTheme="majorHAnsi" w:eastAsia="Times New Roman" w:hAnsiTheme="majorHAnsi" w:cstheme="majorHAnsi"/>
          <w:b/>
          <w:bCs/>
          <w:color w:val="5D5D5D"/>
          <w:sz w:val="24"/>
          <w:szCs w:val="24"/>
          <w:lang w:eastAsia="pl-PL"/>
        </w:rPr>
        <w:t>obowiązuje</w:t>
      </w:r>
      <w:r w:rsidRPr="00A032AA">
        <w:rPr>
          <w:rFonts w:asciiTheme="majorHAnsi" w:eastAsia="Times New Roman" w:hAnsiTheme="majorHAnsi" w:cstheme="majorHAnsi"/>
          <w:b/>
          <w:bCs/>
          <w:color w:val="5D5D5D"/>
          <w:sz w:val="24"/>
          <w:szCs w:val="24"/>
          <w:lang w:eastAsia="pl-PL"/>
        </w:rPr>
        <w:t xml:space="preserve"> nowa lista substancji </w:t>
      </w:r>
      <w:r w:rsidRPr="00A032AA">
        <w:rPr>
          <w:rFonts w:asciiTheme="majorHAnsi" w:eastAsia="Times New Roman" w:hAnsiTheme="majorHAnsi" w:cstheme="majorHAnsi"/>
          <w:b/>
          <w:bCs/>
          <w:color w:val="5D5D5D"/>
          <w:sz w:val="24"/>
          <w:szCs w:val="24"/>
          <w:lang w:eastAsia="pl-PL"/>
        </w:rPr>
        <w:t xml:space="preserve">i metod </w:t>
      </w:r>
      <w:r w:rsidRPr="00A032AA">
        <w:rPr>
          <w:rFonts w:asciiTheme="majorHAnsi" w:eastAsia="Times New Roman" w:hAnsiTheme="majorHAnsi" w:cstheme="majorHAnsi"/>
          <w:b/>
          <w:bCs/>
          <w:color w:val="5D5D5D"/>
          <w:sz w:val="24"/>
          <w:szCs w:val="24"/>
          <w:lang w:eastAsia="pl-PL"/>
        </w:rPr>
        <w:t>zabronionych</w:t>
      </w:r>
    </w:p>
    <w:p w14:paraId="3307F943" w14:textId="77DE6F75" w:rsidR="00A032AA" w:rsidRPr="00A032AA" w:rsidRDefault="00A032AA" w:rsidP="00A032AA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</w:pPr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Jedną z najważniejszych zmian wchodzących w życie od stycznia 2022 roku </w:t>
      </w:r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są</w:t>
      </w:r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 zapisy związane z podawaniem glikokortykoidów. W nowych przepisach </w:t>
      </w:r>
      <w:r w:rsidRPr="00A032AA">
        <w:rPr>
          <w:rFonts w:asciiTheme="majorHAnsi" w:eastAsia="Times New Roman" w:hAnsiTheme="majorHAnsi" w:cstheme="majorHAnsi"/>
          <w:b/>
          <w:bCs/>
          <w:color w:val="5D5D5D"/>
          <w:sz w:val="24"/>
          <w:szCs w:val="24"/>
          <w:lang w:eastAsia="pl-PL"/>
        </w:rPr>
        <w:t>zabroniono podawania glikokortykoidów podczas zawodów w postaci jakichkolwiek iniekcji. </w:t>
      </w:r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Przykłady takiego sposobu podawania glikokortykoidów obejmują wstrzyknięcia: dożylne, domięśniowe, okołostawowe, dostawowe, </w:t>
      </w:r>
      <w:proofErr w:type="spellStart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okołościęgnowe</w:t>
      </w:r>
      <w:proofErr w:type="spellEnd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, </w:t>
      </w:r>
      <w:proofErr w:type="spellStart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dościęgnowe</w:t>
      </w:r>
      <w:proofErr w:type="spellEnd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, nadtwardówkowe, </w:t>
      </w:r>
      <w:proofErr w:type="spellStart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dooponowe</w:t>
      </w:r>
      <w:proofErr w:type="spellEnd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, </w:t>
      </w:r>
      <w:proofErr w:type="spellStart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dokaletkowe</w:t>
      </w:r>
      <w:proofErr w:type="spellEnd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, w miejsce zmian chorobowych (np. keloidy, inaczej bliznowce), śródskórne i podskórne. Doprecyzowano, że doustne podawanie glikokortykoidów obejmuje również podawanie leków na śluzówkę jamy ustnej, </w:t>
      </w:r>
      <w:proofErr w:type="spellStart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dopoliczkowo</w:t>
      </w:r>
      <w:proofErr w:type="spellEnd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, </w:t>
      </w:r>
      <w:proofErr w:type="spellStart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dodziąsłowo</w:t>
      </w:r>
      <w:proofErr w:type="spellEnd"/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 xml:space="preserve"> i podjęzykowo. Podawanie dokanałowe w stomatologii nie jest zabronione.</w:t>
      </w:r>
    </w:p>
    <w:p w14:paraId="53F25EBA" w14:textId="77777777" w:rsidR="00A032AA" w:rsidRPr="00A032AA" w:rsidRDefault="00A032AA" w:rsidP="00A032AA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</w:pPr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Wszystkie zmiany zostały szczegółowo opisane w dokumencie: </w:t>
      </w:r>
    </w:p>
    <w:p w14:paraId="39394D40" w14:textId="046CBD94" w:rsidR="00A032AA" w:rsidRPr="00A032AA" w:rsidRDefault="00A032AA" w:rsidP="00A032AA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pl-PL"/>
        </w:rPr>
      </w:pPr>
      <w:hyperlink r:id="rId4" w:history="1">
        <w:r w:rsidRPr="00A032AA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https://www.antydoping.pl/wp-content/uploads/2021/11/Lista-substancji-i-metod-zabronionych-2022_Podsumowanie-zmian.pdf</w:t>
        </w:r>
      </w:hyperlink>
    </w:p>
    <w:p w14:paraId="26BE1249" w14:textId="7DFBA015" w:rsidR="00A032AA" w:rsidRPr="00A032AA" w:rsidRDefault="00A032AA" w:rsidP="00A032AA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</w:pPr>
      <w:r w:rsidRPr="00A032AA">
        <w:rPr>
          <w:rFonts w:asciiTheme="majorHAnsi" w:eastAsia="Times New Roman" w:hAnsiTheme="majorHAnsi" w:cstheme="majorHAnsi"/>
          <w:color w:val="5D5D5D"/>
          <w:sz w:val="24"/>
          <w:szCs w:val="24"/>
          <w:lang w:eastAsia="pl-PL"/>
        </w:rPr>
        <w:t>Dokument zawierający pełną Listę Substancji i Metod Zabronionych, obowiązującą od 1 stycznia 2022 roku, prezentujemy poniżej:</w:t>
      </w:r>
    </w:p>
    <w:p w14:paraId="4EF1008B" w14:textId="22CB5F1F" w:rsidR="00A032AA" w:rsidRPr="00A032AA" w:rsidRDefault="00A032AA">
      <w:pPr>
        <w:rPr>
          <w:rFonts w:asciiTheme="majorHAnsi" w:hAnsiTheme="majorHAnsi" w:cstheme="majorHAnsi"/>
          <w:sz w:val="24"/>
          <w:szCs w:val="24"/>
        </w:rPr>
      </w:pPr>
      <w:hyperlink r:id="rId5" w:history="1">
        <w:r w:rsidRPr="00A032AA">
          <w:rPr>
            <w:rStyle w:val="Hipercze"/>
            <w:rFonts w:asciiTheme="majorHAnsi" w:hAnsiTheme="majorHAnsi" w:cstheme="majorHAnsi"/>
            <w:sz w:val="24"/>
            <w:szCs w:val="24"/>
          </w:rPr>
          <w:t>https://www.antydoping.pl/wp-content/uploads/2021/11/Lista-substancji-i-metod-zabronionych-2022.pdf</w:t>
        </w:r>
      </w:hyperlink>
    </w:p>
    <w:p w14:paraId="61204838" w14:textId="1E659BAB" w:rsidR="00A032AA" w:rsidRPr="00A032AA" w:rsidRDefault="00A032AA">
      <w:pPr>
        <w:rPr>
          <w:rFonts w:asciiTheme="majorHAnsi" w:hAnsiTheme="majorHAnsi" w:cstheme="majorHAnsi"/>
          <w:sz w:val="24"/>
          <w:szCs w:val="24"/>
        </w:rPr>
      </w:pPr>
    </w:p>
    <w:p w14:paraId="3B11A9CA" w14:textId="77777777" w:rsidR="00A032AA" w:rsidRPr="00A032AA" w:rsidRDefault="00A032AA">
      <w:pPr>
        <w:rPr>
          <w:rFonts w:asciiTheme="majorHAnsi" w:hAnsiTheme="majorHAnsi" w:cstheme="majorHAnsi"/>
          <w:sz w:val="24"/>
          <w:szCs w:val="24"/>
        </w:rPr>
      </w:pPr>
    </w:p>
    <w:sectPr w:rsidR="00A032AA" w:rsidRPr="00A0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AA"/>
    <w:rsid w:val="009D50F9"/>
    <w:rsid w:val="00A032AA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11F"/>
  <w15:chartTrackingRefBased/>
  <w15:docId w15:val="{731F3A45-EB9B-4985-911C-1C9C96C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x">
    <w:name w:val="fontsize1x"/>
    <w:basedOn w:val="Normalny"/>
    <w:rsid w:val="00A0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2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32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ydoping.pl/wp-content/uploads/2021/11/Lista-substancji-i-metod-zabronionych-2022.pdf" TargetMode="External"/><Relationship Id="rId4" Type="http://schemas.openxmlformats.org/officeDocument/2006/relationships/hyperlink" Target="https://www.antydoping.pl/wp-content/uploads/2021/11/Lista-substancji-i-metod-zabronionych-2022_Podsumowanie-zmia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Kopeć-Ziemczyk</dc:creator>
  <cp:keywords/>
  <dc:description/>
  <cp:lastModifiedBy>Katarzyna Kopeć-Ziemczyk</cp:lastModifiedBy>
  <cp:revision>1</cp:revision>
  <dcterms:created xsi:type="dcterms:W3CDTF">2022-01-03T14:35:00Z</dcterms:created>
  <dcterms:modified xsi:type="dcterms:W3CDTF">2022-01-03T15:54:00Z</dcterms:modified>
</cp:coreProperties>
</file>